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576B3">
      <w:pPr>
        <w:adjustRightInd w:val="0"/>
        <w:snapToGrid w:val="0"/>
        <w:spacing w:line="360" w:lineRule="auto"/>
        <w:ind w:right="210" w:rightChars="100"/>
        <w:jc w:val="center"/>
        <w:rPr>
          <w:rFonts w:hint="eastAsia" w:ascii="黑体" w:hAnsi="宋体" w:eastAsia="黑体"/>
          <w:b/>
          <w:color w:val="auto"/>
          <w:sz w:val="32"/>
          <w:szCs w:val="32"/>
          <w:highlight w:val="none"/>
          <w:lang w:eastAsia="zh-CN"/>
        </w:rPr>
      </w:pPr>
      <w:r>
        <w:rPr>
          <w:rFonts w:hint="eastAsia" w:ascii="黑体" w:hAnsi="宋体" w:eastAsia="黑体"/>
          <w:b/>
          <w:color w:val="auto"/>
          <w:sz w:val="32"/>
          <w:szCs w:val="32"/>
          <w:highlight w:val="none"/>
          <w:lang w:eastAsia="zh-CN"/>
        </w:rPr>
        <w:t>湖南同盛智能信息有限公司平台系统建设项目</w:t>
      </w:r>
    </w:p>
    <w:p w14:paraId="66102661">
      <w:pPr>
        <w:adjustRightInd w:val="0"/>
        <w:snapToGrid w:val="0"/>
        <w:spacing w:line="360" w:lineRule="auto"/>
        <w:ind w:right="210" w:rightChars="100"/>
        <w:jc w:val="center"/>
        <w:rPr>
          <w:rFonts w:hint="eastAsia" w:ascii="黑体" w:hAnsi="宋体" w:eastAsia="黑体"/>
          <w:b/>
          <w:color w:val="auto"/>
          <w:sz w:val="32"/>
          <w:szCs w:val="32"/>
          <w:highlight w:val="none"/>
        </w:rPr>
      </w:pPr>
      <w:r>
        <w:rPr>
          <w:rFonts w:hint="eastAsia" w:ascii="黑体" w:hAnsi="宋体" w:eastAsia="黑体"/>
          <w:b/>
          <w:color w:val="auto"/>
          <w:sz w:val="32"/>
          <w:szCs w:val="32"/>
          <w:highlight w:val="none"/>
        </w:rPr>
        <w:t>邀请公告</w:t>
      </w:r>
    </w:p>
    <w:p w14:paraId="7677BD32">
      <w:pPr>
        <w:keepNext w:val="0"/>
        <w:keepLines w:val="0"/>
        <w:pageBreakBefore w:val="0"/>
        <w:widowControl w:val="0"/>
        <w:kinsoku/>
        <w:wordWrap/>
        <w:overflowPunct/>
        <w:topLinePunct w:val="0"/>
        <w:autoSpaceDE/>
        <w:autoSpaceDN/>
        <w:bidi w:val="0"/>
        <w:adjustRightInd/>
        <w:snapToGrid/>
        <w:spacing w:after="120" w:line="360" w:lineRule="auto"/>
        <w:ind w:left="0" w:leftChars="0" w:firstLine="420" w:firstLineChars="200"/>
        <w:jc w:val="both"/>
        <w:textAlignment w:val="baseline"/>
        <w:rPr>
          <w:rFonts w:ascii="Times New Roman" w:hAnsi="Times New Roman"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1"/>
          <w:highlight w:val="none"/>
          <w:u w:val="single"/>
          <w:lang w:val="en-US" w:eastAsia="zh-CN" w:bidi="ar-SA"/>
        </w:rPr>
        <w:t>湖南同盛智能信息有限公司平台系统建设项目</w:t>
      </w:r>
      <w:r>
        <w:rPr>
          <w:rFonts w:hint="eastAsia" w:ascii="宋体" w:hAnsi="宋体" w:eastAsia="宋体" w:cs="Times New Roman"/>
          <w:color w:val="auto"/>
          <w:kern w:val="2"/>
          <w:sz w:val="21"/>
          <w:szCs w:val="21"/>
          <w:highlight w:val="none"/>
          <w:u w:val="single"/>
          <w:lang w:val="en-US" w:eastAsia="zh-CN" w:bidi="ar-SA"/>
        </w:rPr>
        <w:t>（委托代理编号：</w:t>
      </w:r>
      <w:r>
        <w:rPr>
          <w:rFonts w:hint="eastAsia" w:ascii="宋体" w:hAnsi="宋体" w:cs="Times New Roman"/>
          <w:color w:val="auto"/>
          <w:kern w:val="2"/>
          <w:sz w:val="21"/>
          <w:szCs w:val="21"/>
          <w:highlight w:val="none"/>
          <w:u w:val="single"/>
          <w:lang w:val="en-US" w:eastAsia="zh-CN" w:bidi="ar-SA"/>
        </w:rPr>
        <w:t>HNTZ(2025)-CG(F)-018</w:t>
      </w:r>
      <w:r>
        <w:rPr>
          <w:rFonts w:hint="eastAsia" w:ascii="宋体" w:hAnsi="宋体" w:eastAsia="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进行竞争性磋商采购，现采用</w:t>
      </w:r>
      <w:r>
        <w:rPr>
          <w:rFonts w:ascii="宋体" w:hAnsi="宋体" w:eastAsia="宋体" w:cs="Times New Roman"/>
          <w:color w:val="auto"/>
          <w:kern w:val="2"/>
          <w:sz w:val="21"/>
          <w:szCs w:val="21"/>
          <w:highlight w:val="none"/>
          <w:u w:val="single"/>
          <w:lang w:val="en-US" w:eastAsia="zh-CN" w:bidi="ar-SA"/>
        </w:rPr>
        <w:t>发布公告</w:t>
      </w:r>
      <w:r>
        <w:rPr>
          <w:rFonts w:ascii="宋体" w:hAnsi="宋体" w:eastAsia="宋体" w:cs="Times New Roman"/>
          <w:color w:val="auto"/>
          <w:kern w:val="2"/>
          <w:sz w:val="21"/>
          <w:szCs w:val="21"/>
          <w:highlight w:val="none"/>
          <w:lang w:val="en-US" w:eastAsia="zh-CN" w:bidi="ar-SA"/>
        </w:rPr>
        <w:t>的方式，邀请符合资格条件的供应商参与竞争性磋商采购活动。</w:t>
      </w:r>
    </w:p>
    <w:p w14:paraId="3E747808">
      <w:pPr>
        <w:keepNext/>
        <w:keepLines/>
        <w:pageBreakBefore w:val="0"/>
        <w:widowControl/>
        <w:kinsoku/>
        <w:overflowPunct/>
        <w:topLinePunct w:val="0"/>
        <w:autoSpaceDE/>
        <w:autoSpaceDN/>
        <w:bidi w:val="0"/>
        <w:snapToGrid w:val="0"/>
        <w:spacing w:line="312" w:lineRule="auto"/>
        <w:jc w:val="both"/>
        <w:textAlignment w:val="baseline"/>
        <w:outlineLvl w:val="1"/>
        <w:rPr>
          <w:rFonts w:ascii="宋体" w:hAnsi="宋体" w:eastAsia="宋体" w:cs="Times New Roman"/>
          <w:b/>
          <w:bCs/>
          <w:color w:val="auto"/>
          <w:kern w:val="2"/>
          <w:sz w:val="24"/>
          <w:szCs w:val="21"/>
          <w:highlight w:val="none"/>
          <w:lang w:val="en-US" w:eastAsia="zh-CN" w:bidi="ar-SA"/>
        </w:rPr>
      </w:pPr>
      <w:bookmarkStart w:id="0" w:name="_Toc17198"/>
      <w:r>
        <w:rPr>
          <w:rFonts w:ascii="宋体" w:hAnsi="宋体" w:eastAsia="宋体" w:cs="Times New Roman"/>
          <w:b/>
          <w:bCs/>
          <w:color w:val="auto"/>
          <w:kern w:val="2"/>
          <w:sz w:val="24"/>
          <w:szCs w:val="21"/>
          <w:highlight w:val="none"/>
          <w:lang w:val="en-US" w:eastAsia="zh-CN" w:bidi="ar-SA"/>
        </w:rPr>
        <w:t>一、项目基本情况</w:t>
      </w:r>
      <w:bookmarkEnd w:id="0"/>
    </w:p>
    <w:p w14:paraId="6F685232">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olor w:val="auto"/>
          <w:szCs w:val="21"/>
          <w:highlight w:val="none"/>
          <w:lang w:val="en-US" w:eastAsia="zh-CN"/>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委托代理编号：</w:t>
      </w:r>
      <w:r>
        <w:rPr>
          <w:rFonts w:hint="eastAsia" w:ascii="宋体" w:hAnsi="宋体"/>
          <w:color w:val="auto"/>
          <w:szCs w:val="21"/>
          <w:highlight w:val="none"/>
          <w:lang w:eastAsia="zh-CN"/>
        </w:rPr>
        <w:t>HNTZ(2025)-CG(F)-018</w:t>
      </w:r>
    </w:p>
    <w:p w14:paraId="661711A6">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项目名称：</w:t>
      </w:r>
      <w:r>
        <w:rPr>
          <w:rFonts w:hint="eastAsia" w:ascii="宋体" w:hAnsi="宋体"/>
          <w:color w:val="auto"/>
          <w:szCs w:val="21"/>
          <w:highlight w:val="none"/>
          <w:lang w:eastAsia="zh-CN"/>
        </w:rPr>
        <w:t>湖南同盛智能信息有限公司平台系统建设项目</w:t>
      </w:r>
      <w:r>
        <w:rPr>
          <w:rFonts w:hint="eastAsia" w:ascii="宋体" w:hAnsi="宋体"/>
          <w:color w:val="auto"/>
          <w:szCs w:val="21"/>
          <w:highlight w:val="none"/>
          <w:lang w:val="en-US"/>
        </w:rPr>
        <w:t xml:space="preserve"> </w:t>
      </w:r>
    </w:p>
    <w:p w14:paraId="0043CEEE">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采购方式：竞争性磋商</w:t>
      </w:r>
    </w:p>
    <w:p w14:paraId="6B91966B">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预算金额：</w:t>
      </w:r>
      <w:r>
        <w:rPr>
          <w:rFonts w:hint="eastAsia" w:ascii="宋体" w:hAnsi="宋体"/>
          <w:color w:val="auto"/>
          <w:szCs w:val="21"/>
          <w:highlight w:val="none"/>
          <w:lang w:val="en-US" w:eastAsia="zh-CN"/>
        </w:rPr>
        <w:t>1000000</w:t>
      </w:r>
      <w:r>
        <w:rPr>
          <w:rFonts w:hint="eastAsia" w:ascii="宋体" w:hAnsi="宋体"/>
          <w:color w:val="auto"/>
          <w:szCs w:val="21"/>
          <w:highlight w:val="none"/>
        </w:rPr>
        <w:t>元</w:t>
      </w:r>
    </w:p>
    <w:p w14:paraId="0DAD6F7F">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最高限价：</w:t>
      </w:r>
      <w:r>
        <w:rPr>
          <w:rFonts w:hint="eastAsia" w:ascii="宋体" w:hAnsi="宋体"/>
          <w:color w:val="auto"/>
          <w:szCs w:val="21"/>
          <w:highlight w:val="none"/>
          <w:lang w:val="en-US" w:eastAsia="zh-CN"/>
        </w:rPr>
        <w:t>1000000</w:t>
      </w:r>
      <w:r>
        <w:rPr>
          <w:rFonts w:hint="eastAsia" w:ascii="宋体" w:hAnsi="宋体"/>
          <w:color w:val="auto"/>
          <w:szCs w:val="21"/>
          <w:highlight w:val="none"/>
        </w:rPr>
        <w:t>元</w:t>
      </w:r>
    </w:p>
    <w:p w14:paraId="5FB45762">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采购需求：</w:t>
      </w:r>
      <w:r>
        <w:rPr>
          <w:rFonts w:hint="eastAsia" w:ascii="宋体" w:hAnsi="宋体"/>
          <w:color w:val="auto"/>
          <w:szCs w:val="21"/>
          <w:highlight w:val="none"/>
        </w:rPr>
        <w:t>本项目为本项目为</w:t>
      </w:r>
      <w:r>
        <w:rPr>
          <w:rFonts w:hint="eastAsia" w:ascii="宋体" w:hAnsi="宋体"/>
          <w:color w:val="auto"/>
          <w:szCs w:val="21"/>
          <w:highlight w:val="none"/>
          <w:lang w:eastAsia="zh-CN"/>
        </w:rPr>
        <w:t>湖南同盛智能信息有限公司平台系统建设项目</w:t>
      </w:r>
      <w:r>
        <w:rPr>
          <w:rFonts w:hint="eastAsia" w:ascii="宋体" w:hAnsi="宋体"/>
          <w:color w:val="auto"/>
          <w:szCs w:val="21"/>
          <w:highlight w:val="none"/>
        </w:rPr>
        <w:t>，主要建设内容</w:t>
      </w:r>
      <w:r>
        <w:rPr>
          <w:rFonts w:hint="eastAsia" w:ascii="宋体" w:hAnsi="宋体"/>
          <w:color w:val="auto"/>
          <w:szCs w:val="21"/>
          <w:highlight w:val="none"/>
          <w:lang w:eastAsia="zh-CN"/>
        </w:rPr>
        <w:t>为</w:t>
      </w:r>
      <w:r>
        <w:rPr>
          <w:rFonts w:hint="eastAsia" w:ascii="宋体" w:hAnsi="宋体"/>
          <w:color w:val="auto"/>
          <w:szCs w:val="21"/>
          <w:highlight w:val="none"/>
          <w:lang w:val="en-US" w:eastAsia="zh-CN"/>
        </w:rPr>
        <w:t>软件功能定制</w:t>
      </w:r>
      <w:r>
        <w:rPr>
          <w:rFonts w:hint="eastAsia" w:ascii="宋体" w:hAnsi="宋体"/>
          <w:color w:val="auto"/>
          <w:szCs w:val="21"/>
          <w:highlight w:val="none"/>
        </w:rPr>
        <w:t>等，</w:t>
      </w:r>
      <w:r>
        <w:rPr>
          <w:rFonts w:hint="eastAsia" w:ascii="宋体" w:hAnsi="宋体" w:cs="宋体"/>
          <w:color w:val="auto"/>
          <w:kern w:val="0"/>
          <w:szCs w:val="21"/>
          <w:highlight w:val="none"/>
        </w:rPr>
        <w:t>详见本项目</w:t>
      </w:r>
      <w:r>
        <w:rPr>
          <w:rFonts w:hint="eastAsia" w:ascii="宋体" w:hAnsi="宋体" w:cs="宋体"/>
          <w:color w:val="auto"/>
          <w:kern w:val="0"/>
          <w:szCs w:val="21"/>
          <w:highlight w:val="none"/>
          <w:lang w:eastAsia="zh-CN"/>
        </w:rPr>
        <w:t>第四章</w:t>
      </w:r>
      <w:r>
        <w:rPr>
          <w:rFonts w:hint="eastAsia" w:ascii="宋体" w:hAnsi="宋体" w:cs="宋体"/>
          <w:color w:val="auto"/>
          <w:kern w:val="0"/>
          <w:szCs w:val="21"/>
          <w:highlight w:val="none"/>
        </w:rPr>
        <w:t>“采购需求”</w:t>
      </w:r>
      <w:r>
        <w:rPr>
          <w:rFonts w:hint="eastAsia" w:ascii="宋体" w:hAnsi="宋体"/>
          <w:color w:val="auto"/>
          <w:szCs w:val="21"/>
          <w:highlight w:val="none"/>
        </w:rPr>
        <w:t>。</w:t>
      </w:r>
    </w:p>
    <w:p w14:paraId="373B41A5">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w:t>
      </w:r>
      <w:r>
        <w:rPr>
          <w:rFonts w:hint="eastAsia" w:ascii="宋体" w:hAnsi="宋体"/>
          <w:bCs/>
          <w:color w:val="auto"/>
          <w:szCs w:val="21"/>
          <w:highlight w:val="none"/>
        </w:rPr>
        <w:t>合同履行期限</w:t>
      </w:r>
      <w:r>
        <w:rPr>
          <w:rFonts w:ascii="宋体" w:hAnsi="宋体"/>
          <w:color w:val="auto"/>
          <w:szCs w:val="21"/>
          <w:highlight w:val="none"/>
        </w:rPr>
        <w:t>：</w:t>
      </w:r>
      <w:r>
        <w:rPr>
          <w:rFonts w:hint="eastAsia" w:ascii="宋体" w:hAnsi="宋体"/>
          <w:color w:val="auto"/>
          <w:szCs w:val="21"/>
          <w:highlight w:val="none"/>
          <w:lang w:val="en-US" w:eastAsia="zh-CN"/>
        </w:rPr>
        <w:t>自合同签订之日起开始计算，全部项目总日历天数45天，项目的保修期限为24个月，自甲乙双方签署《验收报告》之日起计算。（或根据采购人具体安排）</w:t>
      </w:r>
    </w:p>
    <w:p w14:paraId="5F89D7E7">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rPr>
        <w:t>8.</w:t>
      </w:r>
      <w:r>
        <w:rPr>
          <w:rFonts w:ascii="宋体" w:hAnsi="宋体"/>
          <w:color w:val="auto"/>
          <w:szCs w:val="21"/>
          <w:highlight w:val="none"/>
        </w:rPr>
        <w:t>本项目不接受联合体。</w:t>
      </w:r>
    </w:p>
    <w:p w14:paraId="087CEC22">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rPr>
        <w:t>9</w:t>
      </w:r>
      <w:r>
        <w:rPr>
          <w:rFonts w:hint="eastAsia" w:ascii="宋体" w:hAnsi="宋体"/>
          <w:color w:val="auto"/>
          <w:szCs w:val="21"/>
          <w:highlight w:val="none"/>
        </w:rPr>
        <w:t>.</w:t>
      </w:r>
      <w:r>
        <w:rPr>
          <w:rFonts w:ascii="宋体" w:hAnsi="宋体"/>
          <w:color w:val="auto"/>
          <w:szCs w:val="21"/>
          <w:highlight w:val="none"/>
        </w:rPr>
        <w:t>资格审查方式：资格后审。</w:t>
      </w:r>
    </w:p>
    <w:p w14:paraId="1F168DF9">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color w:val="auto"/>
          <w:szCs w:val="21"/>
          <w:highlight w:val="none"/>
          <w:lang w:val="en-US"/>
        </w:rPr>
        <w:t>10</w:t>
      </w:r>
      <w:r>
        <w:rPr>
          <w:rFonts w:hint="eastAsia" w:ascii="宋体" w:hAnsi="宋体"/>
          <w:color w:val="auto"/>
          <w:szCs w:val="21"/>
          <w:highlight w:val="none"/>
        </w:rPr>
        <w:t>.</w:t>
      </w:r>
      <w:r>
        <w:rPr>
          <w:rFonts w:ascii="宋体" w:hAnsi="宋体"/>
          <w:color w:val="auto"/>
          <w:szCs w:val="21"/>
          <w:highlight w:val="none"/>
        </w:rPr>
        <w:t>本项目需要落实的政府采购政策：</w:t>
      </w:r>
      <w:r>
        <w:rPr>
          <w:rFonts w:hint="eastAsia" w:ascii="宋体" w:hAnsi="宋体" w:eastAsia="宋体" w:cs="宋体"/>
          <w:color w:val="auto"/>
          <w:highlight w:val="none"/>
          <w:lang w:val="en-US" w:eastAsia="zh-CN"/>
        </w:rPr>
        <w:t>本项目专门面向中小企业采购，</w:t>
      </w:r>
      <w:r>
        <w:rPr>
          <w:rFonts w:hint="eastAsia" w:ascii="宋体" w:hAnsi="宋体" w:cs="宋体"/>
          <w:color w:val="auto"/>
          <w:highlight w:val="none"/>
        </w:rPr>
        <w:t>拒绝大型企业(或作为联合体方)参加政府采购活动。</w:t>
      </w:r>
    </w:p>
    <w:p w14:paraId="4DC70B76">
      <w:pPr>
        <w:keepNext/>
        <w:keepLines/>
        <w:pageBreakBefore w:val="0"/>
        <w:widowControl/>
        <w:kinsoku/>
        <w:wordWrap/>
        <w:overflowPunct/>
        <w:topLinePunct w:val="0"/>
        <w:autoSpaceDE/>
        <w:autoSpaceDN/>
        <w:bidi w:val="0"/>
        <w:adjustRightInd/>
        <w:snapToGrid w:val="0"/>
        <w:spacing w:line="360" w:lineRule="auto"/>
        <w:jc w:val="both"/>
        <w:textAlignment w:val="baseline"/>
        <w:outlineLvl w:val="1"/>
        <w:rPr>
          <w:rFonts w:hint="eastAsia" w:ascii="宋体" w:hAnsi="宋体" w:eastAsia="宋体" w:cs="宋体"/>
          <w:b/>
          <w:bCs w:val="0"/>
          <w:color w:val="auto"/>
          <w:kern w:val="2"/>
          <w:sz w:val="21"/>
          <w:szCs w:val="20"/>
          <w:highlight w:val="none"/>
          <w:lang w:val="en-US" w:eastAsia="zh-CN" w:bidi="ar-SA"/>
        </w:rPr>
      </w:pPr>
      <w:r>
        <w:rPr>
          <w:rFonts w:hint="eastAsia" w:ascii="宋体" w:hAnsi="宋体" w:eastAsia="宋体" w:cs="宋体"/>
          <w:b/>
          <w:bCs/>
          <w:color w:val="auto"/>
          <w:kern w:val="0"/>
          <w:sz w:val="22"/>
          <w:szCs w:val="20"/>
          <w:highlight w:val="none"/>
          <w:lang w:val="en-US" w:eastAsia="zh-CN" w:bidi="ar-SA"/>
        </w:rPr>
        <w:t>二、</w:t>
      </w:r>
      <w:r>
        <w:rPr>
          <w:rFonts w:hint="eastAsia" w:ascii="宋体" w:hAnsi="宋体" w:eastAsia="宋体" w:cs="宋体"/>
          <w:b/>
          <w:bCs w:val="0"/>
          <w:color w:val="auto"/>
          <w:kern w:val="2"/>
          <w:sz w:val="21"/>
          <w:szCs w:val="20"/>
          <w:highlight w:val="none"/>
          <w:lang w:val="en-US" w:eastAsia="zh-CN" w:bidi="ar-SA"/>
        </w:rPr>
        <w:t>供应商资质要求</w:t>
      </w:r>
    </w:p>
    <w:p w14:paraId="2F57F9C6">
      <w:pPr>
        <w:pageBreakBefore w:val="0"/>
        <w:widowControl/>
        <w:kinsoku/>
        <w:wordWrap/>
        <w:overflowPunct/>
        <w:topLinePunct w:val="0"/>
        <w:autoSpaceDE/>
        <w:autoSpaceDN/>
        <w:bidi w:val="0"/>
        <w:adjustRightInd/>
        <w:snapToGrid w:val="0"/>
        <w:spacing w:before="158" w:line="360" w:lineRule="auto"/>
        <w:ind w:firstLine="420" w:firstLineChars="200"/>
        <w:textAlignment w:val="baseline"/>
        <w:rPr>
          <w:rFonts w:hint="eastAsia" w:ascii="宋体" w:hAnsi="宋体" w:cs="宋体"/>
          <w:color w:val="auto"/>
          <w:sz w:val="21"/>
          <w:szCs w:val="20"/>
          <w:highlight w:val="none"/>
        </w:rPr>
      </w:pPr>
      <w:r>
        <w:rPr>
          <w:rFonts w:hint="eastAsia" w:ascii="宋体" w:hAnsi="宋体" w:cs="宋体"/>
          <w:color w:val="auto"/>
          <w:sz w:val="21"/>
          <w:szCs w:val="20"/>
          <w:highlight w:val="none"/>
        </w:rPr>
        <w:t>1.供应商的基本资格条件：供应商必须是在中华人民共和国境内注册登记的法人、其他组织或者自然人，且应当符合《政府采购法》第二十二条第一款的规定，即：</w:t>
      </w:r>
    </w:p>
    <w:p w14:paraId="226287E0">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color w:val="auto"/>
          <w:sz w:val="21"/>
          <w:szCs w:val="20"/>
          <w:highlight w:val="none"/>
        </w:rPr>
      </w:pPr>
      <w:r>
        <w:rPr>
          <w:rFonts w:hint="eastAsia" w:ascii="宋体" w:hAnsi="宋体" w:cs="宋体"/>
          <w:color w:val="auto"/>
          <w:sz w:val="21"/>
          <w:szCs w:val="20"/>
          <w:highlight w:val="none"/>
        </w:rPr>
        <w:t>（1）具有独立承担民事责任的能力；</w:t>
      </w:r>
    </w:p>
    <w:p w14:paraId="0DD593F2">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color w:val="auto"/>
          <w:sz w:val="21"/>
          <w:szCs w:val="20"/>
          <w:highlight w:val="none"/>
        </w:rPr>
      </w:pPr>
      <w:r>
        <w:rPr>
          <w:rFonts w:hint="eastAsia" w:ascii="宋体" w:hAnsi="宋体" w:cs="宋体"/>
          <w:color w:val="auto"/>
          <w:sz w:val="21"/>
          <w:szCs w:val="20"/>
          <w:highlight w:val="none"/>
        </w:rPr>
        <w:t>（2）具有良好的商业信誉和健全的财务会计制度；</w:t>
      </w:r>
    </w:p>
    <w:p w14:paraId="5F0B5F99">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color w:val="auto"/>
          <w:sz w:val="21"/>
          <w:szCs w:val="20"/>
          <w:highlight w:val="none"/>
        </w:rPr>
      </w:pPr>
      <w:r>
        <w:rPr>
          <w:rFonts w:hint="eastAsia" w:ascii="宋体" w:hAnsi="宋体" w:cs="宋体"/>
          <w:color w:val="auto"/>
          <w:sz w:val="21"/>
          <w:szCs w:val="20"/>
          <w:highlight w:val="none"/>
        </w:rPr>
        <w:t>（3）具有履行合同所必需的设备和专业技术能力；</w:t>
      </w:r>
    </w:p>
    <w:p w14:paraId="1C5AD50E">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color w:val="auto"/>
          <w:sz w:val="21"/>
          <w:szCs w:val="20"/>
          <w:highlight w:val="none"/>
        </w:rPr>
      </w:pPr>
      <w:r>
        <w:rPr>
          <w:rFonts w:hint="eastAsia" w:ascii="宋体" w:hAnsi="宋体" w:cs="宋体"/>
          <w:color w:val="auto"/>
          <w:sz w:val="21"/>
          <w:szCs w:val="20"/>
          <w:highlight w:val="none"/>
        </w:rPr>
        <w:t>（4）有依法缴纳税收和社会保障资金的良好记录；</w:t>
      </w:r>
    </w:p>
    <w:p w14:paraId="407ABCF8">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color w:val="auto"/>
          <w:sz w:val="21"/>
          <w:szCs w:val="20"/>
          <w:highlight w:val="none"/>
        </w:rPr>
      </w:pPr>
      <w:r>
        <w:rPr>
          <w:rFonts w:hint="eastAsia" w:ascii="宋体" w:hAnsi="宋体" w:cs="宋体"/>
          <w:color w:val="auto"/>
          <w:sz w:val="21"/>
          <w:szCs w:val="20"/>
          <w:highlight w:val="none"/>
        </w:rPr>
        <w:t>（5）参加政府采购活动前三年内，在经营活动中没有重大违法记录；</w:t>
      </w:r>
    </w:p>
    <w:p w14:paraId="1EFA639F">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color w:val="auto"/>
          <w:sz w:val="21"/>
          <w:szCs w:val="20"/>
          <w:highlight w:val="none"/>
        </w:rPr>
      </w:pPr>
      <w:r>
        <w:rPr>
          <w:rFonts w:hint="eastAsia" w:ascii="宋体" w:hAnsi="宋体" w:cs="宋体"/>
          <w:color w:val="auto"/>
          <w:sz w:val="21"/>
          <w:szCs w:val="20"/>
          <w:highlight w:val="none"/>
        </w:rPr>
        <w:t>（6）法律、行政法规规定的其他条件。</w:t>
      </w:r>
    </w:p>
    <w:p w14:paraId="5104FAA2">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color w:val="auto"/>
          <w:kern w:val="2"/>
          <w:sz w:val="21"/>
          <w:szCs w:val="24"/>
          <w:highlight w:val="none"/>
          <w:lang w:val="en-US" w:eastAsia="zh-CN" w:bidi="ar-SA"/>
        </w:rPr>
      </w:pPr>
      <w:r>
        <w:rPr>
          <w:rFonts w:hint="eastAsia" w:ascii="宋体" w:hAnsi="宋体" w:cs="宋体"/>
          <w:b w:val="0"/>
          <w:bCs w:val="0"/>
          <w:color w:val="auto"/>
          <w:sz w:val="21"/>
          <w:szCs w:val="20"/>
          <w:highlight w:val="none"/>
        </w:rPr>
        <w:t>2.</w:t>
      </w:r>
      <w:r>
        <w:rPr>
          <w:rFonts w:hint="eastAsia" w:ascii="宋体" w:hAnsi="宋体" w:cs="宋体"/>
          <w:b/>
          <w:bCs/>
          <w:color w:val="auto"/>
          <w:kern w:val="2"/>
          <w:sz w:val="21"/>
          <w:szCs w:val="24"/>
          <w:highlight w:val="none"/>
          <w:lang w:val="en-US" w:eastAsia="zh-CN" w:bidi="ar-SA"/>
        </w:rPr>
        <w:t>本项目的特定资格要求</w:t>
      </w:r>
      <w:r>
        <w:rPr>
          <w:rFonts w:hint="eastAsia" w:ascii="宋体" w:hAnsi="宋体" w:cs="宋体"/>
          <w:color w:val="auto"/>
          <w:kern w:val="2"/>
          <w:sz w:val="21"/>
          <w:szCs w:val="24"/>
          <w:highlight w:val="none"/>
          <w:lang w:val="en-US" w:eastAsia="zh-CN" w:bidi="ar-SA"/>
        </w:rPr>
        <w:t>：无。</w:t>
      </w:r>
    </w:p>
    <w:p w14:paraId="32831E72">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color w:val="auto"/>
          <w:sz w:val="21"/>
          <w:szCs w:val="20"/>
          <w:highlight w:val="none"/>
        </w:rPr>
      </w:pPr>
      <w:r>
        <w:rPr>
          <w:rFonts w:hint="eastAsia" w:ascii="宋体" w:hAnsi="宋体" w:cs="宋体"/>
          <w:color w:val="auto"/>
          <w:sz w:val="21"/>
          <w:szCs w:val="20"/>
          <w:highlight w:val="none"/>
        </w:rPr>
        <w:t>3.单位负责人为同一人或者存在直接控股、管理关系的不同磋商人，不得参加同一合同项下的政府采购活动。</w:t>
      </w:r>
    </w:p>
    <w:p w14:paraId="00092F36">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color w:val="auto"/>
          <w:sz w:val="21"/>
          <w:szCs w:val="20"/>
          <w:highlight w:val="none"/>
        </w:rPr>
      </w:pPr>
      <w:r>
        <w:rPr>
          <w:rFonts w:hint="eastAsia" w:ascii="宋体" w:hAnsi="宋体" w:cs="宋体"/>
          <w:color w:val="auto"/>
          <w:sz w:val="21"/>
          <w:szCs w:val="20"/>
          <w:highlight w:val="none"/>
        </w:rPr>
        <w:t>4.为本采购项目提供整体设计、规范编制或者项目管理、监理、检测等服务的，不得再参加此项目的其他政府采购活动。</w:t>
      </w:r>
    </w:p>
    <w:p w14:paraId="65806158">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color w:val="auto"/>
          <w:sz w:val="21"/>
          <w:szCs w:val="20"/>
          <w:highlight w:val="none"/>
        </w:rPr>
      </w:pPr>
      <w:r>
        <w:rPr>
          <w:rFonts w:hint="eastAsia" w:ascii="宋体" w:hAnsi="宋体" w:cs="宋体"/>
          <w:color w:val="auto"/>
          <w:sz w:val="21"/>
          <w:szCs w:val="20"/>
          <w:highlight w:val="none"/>
        </w:rPr>
        <w:t>5.列入失信被执行人、重大税收违法案件当事人名单，列入政府采购严重违法失信行为记录名单的，拒绝其参与政府采购活动。</w:t>
      </w:r>
    </w:p>
    <w:p w14:paraId="5F4B2FB6">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本次招标</w:t>
      </w:r>
      <w:r>
        <w:rPr>
          <w:rFonts w:hint="eastAsia" w:ascii="宋体" w:hAnsi="宋体" w:cs="宋体"/>
          <w:color w:val="auto"/>
          <w:szCs w:val="21"/>
          <w:highlight w:val="none"/>
          <w:u w:val="single"/>
        </w:rPr>
        <w:t xml:space="preserve"> 不接受 </w:t>
      </w:r>
      <w:r>
        <w:rPr>
          <w:rFonts w:hint="eastAsia" w:ascii="宋体" w:hAnsi="宋体" w:cs="宋体"/>
          <w:color w:val="auto"/>
          <w:szCs w:val="21"/>
          <w:highlight w:val="none"/>
        </w:rPr>
        <w:t>联合体投标。</w:t>
      </w:r>
    </w:p>
    <w:p w14:paraId="2C2DA201">
      <w:pPr>
        <w:pageBreakBefore w:val="0"/>
        <w:widowControl/>
        <w:kinsoku/>
        <w:wordWrap/>
        <w:overflowPunct/>
        <w:topLinePunct w:val="0"/>
        <w:autoSpaceDE/>
        <w:autoSpaceDN/>
        <w:bidi w:val="0"/>
        <w:adjustRightInd/>
        <w:snapToGrid w:val="0"/>
        <w:spacing w:line="360" w:lineRule="auto"/>
        <w:ind w:firstLine="0"/>
        <w:jc w:val="both"/>
        <w:textAlignment w:val="baseline"/>
        <w:rPr>
          <w:rFonts w:hint="eastAsia" w:ascii="宋体" w:hAnsi="宋体" w:eastAsia="宋体" w:cs="宋体"/>
          <w:b/>
          <w:bCs/>
          <w:color w:val="auto"/>
          <w:kern w:val="0"/>
          <w:sz w:val="21"/>
          <w:szCs w:val="20"/>
          <w:highlight w:val="none"/>
          <w:lang w:val="en-US" w:eastAsia="zh-CN" w:bidi="ar-SA"/>
        </w:rPr>
      </w:pPr>
      <w:r>
        <w:rPr>
          <w:rFonts w:hint="eastAsia" w:ascii="宋体" w:hAnsi="宋体" w:eastAsia="宋体" w:cs="宋体"/>
          <w:b/>
          <w:bCs/>
          <w:color w:val="auto"/>
          <w:kern w:val="0"/>
          <w:sz w:val="21"/>
          <w:szCs w:val="20"/>
          <w:highlight w:val="none"/>
          <w:lang w:val="en-US" w:eastAsia="zh-CN" w:bidi="ar-SA"/>
        </w:rPr>
        <w:t>三、磋商文件的获取</w:t>
      </w:r>
    </w:p>
    <w:p w14:paraId="4A18B390">
      <w:pPr>
        <w:keepNext w:val="0"/>
        <w:keepLines w:val="0"/>
        <w:pageBreakBefore w:val="0"/>
        <w:widowControl/>
        <w:kinsoku/>
        <w:wordWrap/>
        <w:overflowPunct/>
        <w:topLinePunct w:val="0"/>
        <w:autoSpaceDE/>
        <w:autoSpaceDN/>
        <w:bidi w:val="0"/>
        <w:adjustRightInd/>
        <w:snapToGrid w:val="0"/>
        <w:spacing w:line="360" w:lineRule="auto"/>
        <w:ind w:firstLine="482"/>
        <w:jc w:val="both"/>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1、获取磋商文件的时间：请即日起至</w:t>
      </w:r>
      <w:r>
        <w:rPr>
          <w:rFonts w:hint="eastAsia" w:ascii="宋体" w:hAnsi="宋体" w:cs="宋体"/>
          <w:color w:val="auto"/>
          <w:kern w:val="0"/>
          <w:sz w:val="21"/>
          <w:szCs w:val="20"/>
          <w:highlight w:val="none"/>
          <w:lang w:val="en-US" w:eastAsia="zh-CN" w:bidi="ar-SA"/>
        </w:rPr>
        <w:t>8</w:t>
      </w:r>
      <w:r>
        <w:rPr>
          <w:rFonts w:hint="eastAsia" w:ascii="宋体" w:hAnsi="宋体" w:eastAsia="宋体" w:cs="宋体"/>
          <w:color w:val="auto"/>
          <w:kern w:val="0"/>
          <w:sz w:val="21"/>
          <w:szCs w:val="20"/>
          <w:highlight w:val="none"/>
          <w:lang w:val="en-US" w:eastAsia="zh-CN" w:bidi="ar-SA"/>
        </w:rPr>
        <w:t>月</w:t>
      </w:r>
      <w:r>
        <w:rPr>
          <w:rFonts w:hint="eastAsia" w:ascii="宋体" w:hAnsi="宋体" w:cs="宋体"/>
          <w:color w:val="auto"/>
          <w:kern w:val="0"/>
          <w:sz w:val="21"/>
          <w:szCs w:val="20"/>
          <w:highlight w:val="none"/>
          <w:lang w:val="en-US" w:eastAsia="zh-CN" w:bidi="ar-SA"/>
        </w:rPr>
        <w:t>19</w:t>
      </w:r>
      <w:r>
        <w:rPr>
          <w:rFonts w:hint="eastAsia" w:ascii="宋体" w:hAnsi="宋体" w:eastAsia="宋体" w:cs="宋体"/>
          <w:color w:val="auto"/>
          <w:kern w:val="0"/>
          <w:sz w:val="21"/>
          <w:szCs w:val="20"/>
          <w:highlight w:val="none"/>
          <w:lang w:val="en-US" w:eastAsia="zh-CN" w:bidi="ar-SA"/>
        </w:rPr>
        <w:t>日，每日上午8：30至12:00，下午15:00至5:30(北京时间)，双休日及节假日除外。</w:t>
      </w:r>
    </w:p>
    <w:p w14:paraId="192FC549">
      <w:pPr>
        <w:keepNext w:val="0"/>
        <w:keepLines w:val="0"/>
        <w:pageBreakBefore w:val="0"/>
        <w:widowControl/>
        <w:kinsoku/>
        <w:wordWrap/>
        <w:overflowPunct/>
        <w:topLinePunct w:val="0"/>
        <w:autoSpaceDE/>
        <w:autoSpaceDN/>
        <w:bidi w:val="0"/>
        <w:adjustRightInd/>
        <w:snapToGrid w:val="0"/>
        <w:spacing w:line="360" w:lineRule="auto"/>
        <w:ind w:firstLine="482"/>
        <w:jc w:val="both"/>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2、获取磋商文件的地点：娄底市娄星区乐坪东街1幢恒丰大酒店附楼二楼210号（湖南同正建设项目管理有限公司）。</w:t>
      </w:r>
    </w:p>
    <w:p w14:paraId="793403D6">
      <w:pPr>
        <w:keepNext w:val="0"/>
        <w:keepLines w:val="0"/>
        <w:pageBreakBefore w:val="0"/>
        <w:widowControl/>
        <w:kinsoku/>
        <w:wordWrap/>
        <w:overflowPunct/>
        <w:topLinePunct w:val="0"/>
        <w:autoSpaceDE/>
        <w:autoSpaceDN/>
        <w:bidi w:val="0"/>
        <w:adjustRightInd/>
        <w:snapToGrid w:val="0"/>
        <w:spacing w:line="360" w:lineRule="auto"/>
        <w:ind w:firstLine="482"/>
        <w:jc w:val="both"/>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3、获取磋商文件提供资料：个人身份证，法定代表人身份证明或者授权委托书（附法定代表人身份证明)及营业执照复印件（加盖公章）。</w:t>
      </w:r>
    </w:p>
    <w:p w14:paraId="757BAE75">
      <w:pPr>
        <w:keepNext w:val="0"/>
        <w:keepLines w:val="0"/>
        <w:pageBreakBefore w:val="0"/>
        <w:widowControl/>
        <w:kinsoku/>
        <w:wordWrap/>
        <w:overflowPunct/>
        <w:topLinePunct w:val="0"/>
        <w:autoSpaceDE/>
        <w:autoSpaceDN/>
        <w:bidi w:val="0"/>
        <w:adjustRightInd/>
        <w:snapToGrid w:val="0"/>
        <w:spacing w:line="360" w:lineRule="auto"/>
        <w:ind w:firstLine="482"/>
        <w:jc w:val="both"/>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4、磋商文件售价：400元/份，售后不退。</w:t>
      </w:r>
    </w:p>
    <w:p w14:paraId="3B1E396D">
      <w:pPr>
        <w:keepNext w:val="0"/>
        <w:keepLines w:val="0"/>
        <w:pageBreakBefore w:val="0"/>
        <w:widowControl/>
        <w:kinsoku/>
        <w:wordWrap/>
        <w:overflowPunct/>
        <w:topLinePunct w:val="0"/>
        <w:autoSpaceDE/>
        <w:autoSpaceDN/>
        <w:bidi w:val="0"/>
        <w:adjustRightInd/>
        <w:snapToGrid w:val="0"/>
        <w:spacing w:line="360" w:lineRule="auto"/>
        <w:ind w:firstLine="482"/>
        <w:jc w:val="both"/>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5、本次磋商公告在湖南安保集团有限公司官网（http://www.hnabjt.com/）网上发布。</w:t>
      </w:r>
    </w:p>
    <w:p w14:paraId="65E8663F">
      <w:pPr>
        <w:pageBreakBefore w:val="0"/>
        <w:widowControl w:val="0"/>
        <w:kinsoku/>
        <w:overflowPunct/>
        <w:topLinePunct w:val="0"/>
        <w:autoSpaceDE/>
        <w:autoSpaceDN/>
        <w:bidi w:val="0"/>
        <w:adjustRightInd w:val="0"/>
        <w:snapToGrid w:val="0"/>
        <w:spacing w:line="312" w:lineRule="auto"/>
        <w:outlineLvl w:val="1"/>
        <w:rPr>
          <w:rFonts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b/>
          <w:bCs/>
          <w:color w:val="auto"/>
          <w:highlight w:val="none"/>
        </w:rPr>
        <w:t>递交响应文件的截止时间和地点</w:t>
      </w:r>
    </w:p>
    <w:p w14:paraId="50601792">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响应文件由磋商人的法定代表人或委托代理人按照以下要求送达指定地点：</w:t>
      </w:r>
    </w:p>
    <w:p w14:paraId="563D8BC1">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递交响应文件的截止时间</w:t>
      </w:r>
      <w:r>
        <w:rPr>
          <w:rFonts w:hint="eastAsia" w:ascii="宋体" w:hAnsi="宋体" w:cs="宋体"/>
          <w:color w:val="auto"/>
          <w:highlight w:val="none"/>
          <w:lang w:eastAsia="zh-CN"/>
        </w:rPr>
        <w:t>：</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8</w:t>
      </w:r>
      <w:r>
        <w:rPr>
          <w:rFonts w:hint="eastAsia" w:ascii="宋体" w:hAnsi="宋体" w:eastAsia="宋体" w:cs="宋体"/>
          <w:color w:val="auto"/>
          <w:highlight w:val="none"/>
        </w:rPr>
        <w:t>月</w:t>
      </w:r>
      <w:r>
        <w:rPr>
          <w:rFonts w:hint="eastAsia" w:ascii="宋体" w:hAnsi="宋体" w:cs="宋体"/>
          <w:color w:val="auto"/>
          <w:highlight w:val="none"/>
          <w:lang w:val="en-US" w:eastAsia="zh-CN"/>
        </w:rPr>
        <w:t>25</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时</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分（北京时间）</w:t>
      </w:r>
    </w:p>
    <w:p w14:paraId="4BE17BEC">
      <w:pPr>
        <w:spacing w:line="360" w:lineRule="auto"/>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送达地点：</w:t>
      </w:r>
      <w:r>
        <w:rPr>
          <w:rFonts w:hint="eastAsia" w:ascii="宋体" w:hAnsi="宋体" w:eastAsia="宋体" w:cs="宋体"/>
          <w:color w:val="auto"/>
          <w:highlight w:val="none"/>
          <w:lang w:val="en-US" w:eastAsia="zh-CN"/>
        </w:rPr>
        <w:t>湖南同盛智能信息有限公司三楼</w:t>
      </w:r>
    </w:p>
    <w:p w14:paraId="7D873A4E">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逾期送达或者未按磋商须知要求密封的响应文件，采购人将拒绝接收。</w:t>
      </w:r>
    </w:p>
    <w:p w14:paraId="5EF5CD80">
      <w:pPr>
        <w:pageBreakBefore w:val="0"/>
        <w:widowControl w:val="0"/>
        <w:numPr>
          <w:ilvl w:val="0"/>
          <w:numId w:val="1"/>
        </w:numPr>
        <w:kinsoku/>
        <w:overflowPunct/>
        <w:topLinePunct w:val="0"/>
        <w:autoSpaceDE/>
        <w:autoSpaceDN/>
        <w:bidi w:val="0"/>
        <w:spacing w:after="120" w:line="312" w:lineRule="auto"/>
        <w:ind w:left="0" w:leftChars="0" w:firstLine="0" w:firstLineChars="0"/>
        <w:jc w:val="both"/>
        <w:textAlignment w:val="baseline"/>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磋商保证金</w:t>
      </w:r>
    </w:p>
    <w:p w14:paraId="6FA593AF">
      <w:pPr>
        <w:tabs>
          <w:tab w:val="left" w:pos="373"/>
        </w:tabs>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1、保证金交纳：</w:t>
      </w:r>
    </w:p>
    <w:p w14:paraId="0FE80A17">
      <w:pPr>
        <w:spacing w:line="360" w:lineRule="auto"/>
        <w:ind w:firstLine="630" w:firstLineChars="300"/>
        <w:rPr>
          <w:rFonts w:ascii="宋体" w:cs="宋体"/>
          <w:color w:val="auto"/>
          <w:highlight w:val="none"/>
        </w:rPr>
      </w:pPr>
      <w:r>
        <w:rPr>
          <w:rFonts w:ascii="宋体" w:hAnsi="宋体" w:cs="宋体"/>
          <w:color w:val="auto"/>
          <w:highlight w:val="none"/>
        </w:rPr>
        <w:t>1.1</w:t>
      </w:r>
      <w:r>
        <w:rPr>
          <w:rFonts w:hint="eastAsia" w:ascii="宋体" w:hAnsi="宋体" w:cs="宋体"/>
          <w:color w:val="auto"/>
          <w:szCs w:val="21"/>
          <w:highlight w:val="none"/>
          <w:shd w:val="clear" w:color="auto" w:fill="FFFFFF"/>
        </w:rPr>
        <w:t>磋商</w:t>
      </w:r>
      <w:r>
        <w:rPr>
          <w:rFonts w:hint="eastAsia" w:ascii="宋体" w:hAnsi="宋体" w:cs="宋体"/>
          <w:color w:val="auto"/>
          <w:highlight w:val="none"/>
        </w:rPr>
        <w:t>保证金的金</w:t>
      </w:r>
      <w:r>
        <w:rPr>
          <w:rFonts w:hint="eastAsia"/>
          <w:color w:val="auto"/>
          <w:highlight w:val="none"/>
        </w:rPr>
        <w:t>额</w:t>
      </w:r>
      <w:r>
        <w:rPr>
          <w:rFonts w:hint="eastAsia" w:ascii="宋体" w:hAnsi="宋体" w:cs="宋体"/>
          <w:color w:val="auto"/>
          <w:highlight w:val="none"/>
        </w:rPr>
        <w:t>：</w:t>
      </w:r>
      <w:r>
        <w:rPr>
          <w:rFonts w:hint="eastAsia" w:ascii="宋体" w:hAnsi="宋体" w:cs="宋体"/>
          <w:color w:val="auto"/>
          <w:highlight w:val="none"/>
          <w:lang w:val="en-US" w:eastAsia="zh-CN"/>
        </w:rPr>
        <w:t>20000</w:t>
      </w:r>
      <w:r>
        <w:rPr>
          <w:rFonts w:hint="eastAsia" w:ascii="宋体" w:hAnsi="宋体" w:cs="宋体"/>
          <w:color w:val="auto"/>
          <w:highlight w:val="none"/>
        </w:rPr>
        <w:t>元整</w:t>
      </w:r>
      <w:r>
        <w:rPr>
          <w:rFonts w:hint="eastAsia"/>
          <w:color w:val="auto"/>
          <w:highlight w:val="none"/>
        </w:rPr>
        <w:t>；</w:t>
      </w:r>
    </w:p>
    <w:p w14:paraId="209B468E">
      <w:pPr>
        <w:spacing w:line="360" w:lineRule="auto"/>
        <w:ind w:firstLine="630" w:firstLineChars="300"/>
        <w:rPr>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2</w:t>
      </w:r>
      <w:r>
        <w:rPr>
          <w:rFonts w:hint="eastAsia"/>
          <w:color w:val="auto"/>
          <w:highlight w:val="none"/>
        </w:rPr>
        <w:t>交纳时间</w:t>
      </w: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8</w:t>
      </w:r>
      <w:r>
        <w:rPr>
          <w:rFonts w:hint="eastAsia" w:ascii="宋体" w:hAnsi="宋体" w:cs="宋体"/>
          <w:color w:val="auto"/>
          <w:highlight w:val="none"/>
        </w:rPr>
        <w:t>月</w:t>
      </w:r>
      <w:r>
        <w:rPr>
          <w:rFonts w:hint="eastAsia" w:ascii="宋体" w:hAnsi="宋体" w:cs="宋体"/>
          <w:color w:val="auto"/>
          <w:highlight w:val="none"/>
          <w:lang w:val="en-US" w:eastAsia="zh-CN"/>
        </w:rPr>
        <w:t>24</w:t>
      </w:r>
      <w:r>
        <w:rPr>
          <w:rFonts w:hint="eastAsia" w:ascii="宋体" w:hAnsi="宋体" w:cs="宋体"/>
          <w:color w:val="auto"/>
          <w:highlight w:val="none"/>
        </w:rPr>
        <w:t>日17:00</w:t>
      </w:r>
      <w:r>
        <w:rPr>
          <w:rFonts w:hint="eastAsia"/>
          <w:color w:val="auto"/>
          <w:highlight w:val="none"/>
        </w:rPr>
        <w:t>时止，以银行到账为准；</w:t>
      </w:r>
    </w:p>
    <w:p w14:paraId="53BA24BF">
      <w:pPr>
        <w:spacing w:line="360" w:lineRule="auto"/>
        <w:ind w:firstLine="630" w:firstLineChars="300"/>
        <w:rPr>
          <w:rFonts w:ascii="宋体" w:hAnsi="宋体" w:cs="宋体"/>
          <w:color w:val="auto"/>
          <w:szCs w:val="21"/>
          <w:highlight w:val="none"/>
        </w:rPr>
      </w:pPr>
      <w:r>
        <w:rPr>
          <w:rFonts w:hint="eastAsia" w:ascii="宋体" w:hAnsi="宋体" w:eastAsia="宋体" w:cs="宋体"/>
          <w:color w:val="auto"/>
          <w:highlight w:val="none"/>
        </w:rPr>
        <w:t>1.3</w:t>
      </w:r>
      <w:r>
        <w:rPr>
          <w:rFonts w:hint="eastAsia"/>
          <w:color w:val="auto"/>
          <w:highlight w:val="none"/>
        </w:rPr>
        <w:t>交纳方式：供应商</w:t>
      </w:r>
      <w:r>
        <w:rPr>
          <w:rFonts w:hint="eastAsia" w:ascii="宋体" w:hAnsi="宋体" w:cs="宋体"/>
          <w:color w:val="auto"/>
          <w:highlight w:val="none"/>
        </w:rPr>
        <w:t>选择转账方式交纳投标保证金。</w:t>
      </w:r>
      <w:r>
        <w:rPr>
          <w:rFonts w:hint="eastAsia" w:ascii="宋体" w:hAnsi="宋体" w:cs="宋体"/>
          <w:color w:val="auto"/>
          <w:szCs w:val="21"/>
          <w:highlight w:val="none"/>
          <w:shd w:val="clear" w:color="auto" w:fill="FFFFFF"/>
        </w:rPr>
        <w:t>磋商</w:t>
      </w:r>
      <w:r>
        <w:rPr>
          <w:rFonts w:hint="eastAsia" w:ascii="宋体" w:hAnsi="宋体" w:cs="宋体"/>
          <w:color w:val="auto"/>
          <w:highlight w:val="none"/>
        </w:rPr>
        <w:t>保证金必须是从</w:t>
      </w:r>
      <w:r>
        <w:rPr>
          <w:rFonts w:hint="eastAsia"/>
          <w:color w:val="auto"/>
          <w:highlight w:val="none"/>
        </w:rPr>
        <w:t>供应商</w:t>
      </w:r>
      <w:r>
        <w:rPr>
          <w:rFonts w:hint="eastAsia" w:ascii="宋体" w:hAnsi="宋体" w:cs="宋体"/>
          <w:color w:val="auto"/>
          <w:highlight w:val="none"/>
        </w:rPr>
        <w:t>单位的基本账户以银行转账、电汇、银行汇票或网银转账的方式一次性按时、准确、足额转入下列账号中。不接受以现金或单位结算通卡方式提交</w:t>
      </w:r>
      <w:r>
        <w:rPr>
          <w:rFonts w:hint="eastAsia" w:ascii="宋体" w:hAnsi="宋体" w:cs="宋体"/>
          <w:color w:val="auto"/>
          <w:szCs w:val="21"/>
          <w:highlight w:val="none"/>
          <w:shd w:val="clear" w:color="auto" w:fill="FFFFFF"/>
        </w:rPr>
        <w:t>磋商</w:t>
      </w:r>
      <w:r>
        <w:rPr>
          <w:rFonts w:hint="eastAsia" w:ascii="宋体" w:hAnsi="宋体" w:cs="宋体"/>
          <w:color w:val="auto"/>
          <w:highlight w:val="none"/>
        </w:rPr>
        <w:t>保证金，缴纳时间以银行到账时间为准。</w:t>
      </w:r>
    </w:p>
    <w:p w14:paraId="551CC6B2">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保证金账户名称：湖南同正建设项目管理有限公司</w:t>
      </w:r>
    </w:p>
    <w:p w14:paraId="1CC8F082">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 xml:space="preserve">保证金账号：1913010109200054087 </w:t>
      </w:r>
    </w:p>
    <w:p w14:paraId="1C571A1A">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保证金开户行：中国工商银行股份有限公司娄底兴城支行</w:t>
      </w:r>
    </w:p>
    <w:p w14:paraId="01F96082">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1.3.1本项目本次</w:t>
      </w:r>
      <w:r>
        <w:rPr>
          <w:rFonts w:hint="eastAsia" w:ascii="宋体" w:hAnsi="宋体" w:cs="宋体"/>
          <w:color w:val="auto"/>
          <w:szCs w:val="21"/>
          <w:highlight w:val="none"/>
          <w:shd w:val="clear" w:color="auto" w:fill="FFFFFF"/>
        </w:rPr>
        <w:t>磋商</w:t>
      </w:r>
      <w:r>
        <w:rPr>
          <w:rFonts w:hint="eastAsia" w:ascii="宋体" w:hAnsi="宋体" w:cs="宋体"/>
          <w:color w:val="auto"/>
          <w:highlight w:val="none"/>
        </w:rPr>
        <w:t>采购出现流标或废标情况的，</w:t>
      </w:r>
      <w:r>
        <w:rPr>
          <w:rFonts w:hint="eastAsia" w:ascii="宋体" w:hAnsi="宋体" w:cs="宋体"/>
          <w:color w:val="auto"/>
          <w:szCs w:val="21"/>
          <w:highlight w:val="none"/>
          <w:shd w:val="clear" w:color="auto" w:fill="FFFFFF"/>
        </w:rPr>
        <w:t>磋商</w:t>
      </w:r>
      <w:r>
        <w:rPr>
          <w:rFonts w:hint="eastAsia" w:ascii="宋体" w:hAnsi="宋体" w:cs="宋体"/>
          <w:color w:val="auto"/>
          <w:highlight w:val="none"/>
        </w:rPr>
        <w:t>保证金将即时原路退还至交纳账户。重新组织采购时，</w:t>
      </w:r>
      <w:r>
        <w:rPr>
          <w:rFonts w:hint="eastAsia"/>
          <w:color w:val="auto"/>
          <w:highlight w:val="none"/>
        </w:rPr>
        <w:t>供应商</w:t>
      </w:r>
      <w:r>
        <w:rPr>
          <w:rFonts w:hint="eastAsia" w:ascii="宋体" w:hAnsi="宋体" w:cs="宋体"/>
          <w:color w:val="auto"/>
          <w:highlight w:val="none"/>
        </w:rPr>
        <w:t>应当重新交纳</w:t>
      </w:r>
      <w:r>
        <w:rPr>
          <w:rFonts w:hint="eastAsia" w:ascii="宋体" w:hAnsi="宋体" w:cs="宋体"/>
          <w:color w:val="auto"/>
          <w:szCs w:val="21"/>
          <w:highlight w:val="none"/>
          <w:shd w:val="clear" w:color="auto" w:fill="FFFFFF"/>
        </w:rPr>
        <w:t>磋商</w:t>
      </w:r>
      <w:r>
        <w:rPr>
          <w:rFonts w:hint="eastAsia" w:ascii="宋体" w:hAnsi="宋体" w:cs="宋体"/>
          <w:color w:val="auto"/>
          <w:highlight w:val="none"/>
        </w:rPr>
        <w:t>保证金。</w:t>
      </w:r>
    </w:p>
    <w:p w14:paraId="74820A72">
      <w:pPr>
        <w:pageBreakBefore w:val="0"/>
        <w:widowControl w:val="0"/>
        <w:kinsoku/>
        <w:overflowPunct/>
        <w:topLinePunct w:val="0"/>
        <w:autoSpaceDE/>
        <w:autoSpaceDN/>
        <w:bidi w:val="0"/>
        <w:spacing w:after="120" w:line="312" w:lineRule="auto"/>
        <w:ind w:left="0" w:leftChars="0" w:firstLine="630" w:firstLineChars="300"/>
        <w:jc w:val="both"/>
        <w:textAlignment w:val="baseline"/>
        <w:rPr>
          <w:rFonts w:hint="eastAsia" w:ascii="Times New Roman" w:hAnsi="Times New Roman" w:eastAsia="宋体" w:cs="Times New Roman"/>
          <w:b/>
          <w:bCs/>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1.3.2因</w:t>
      </w:r>
      <w:r>
        <w:rPr>
          <w:rFonts w:hint="eastAsia" w:ascii="Times New Roman" w:hAnsi="Times New Roman" w:eastAsia="宋体" w:cs="Times New Roman"/>
          <w:color w:val="auto"/>
          <w:kern w:val="2"/>
          <w:sz w:val="21"/>
          <w:szCs w:val="24"/>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自身原因，未按要求从其基本账户按时、准确、足额向该账号缴纳</w:t>
      </w:r>
      <w:r>
        <w:rPr>
          <w:rFonts w:hint="eastAsia" w:ascii="宋体" w:hAnsi="宋体" w:eastAsia="宋体" w:cs="宋体"/>
          <w:color w:val="auto"/>
          <w:kern w:val="2"/>
          <w:sz w:val="21"/>
          <w:szCs w:val="21"/>
          <w:highlight w:val="none"/>
          <w:shd w:val="clear" w:color="auto" w:fill="FFFFFF"/>
          <w:lang w:val="en-US" w:eastAsia="zh-CN" w:bidi="ar-SA"/>
        </w:rPr>
        <w:t>磋商</w:t>
      </w:r>
      <w:r>
        <w:rPr>
          <w:rFonts w:hint="eastAsia" w:ascii="宋体" w:hAnsi="宋体" w:eastAsia="宋体" w:cs="宋体"/>
          <w:color w:val="auto"/>
          <w:kern w:val="2"/>
          <w:sz w:val="21"/>
          <w:szCs w:val="24"/>
          <w:highlight w:val="none"/>
          <w:lang w:val="en-US" w:eastAsia="zh-CN" w:bidi="ar-SA"/>
        </w:rPr>
        <w:t>保证金的，其响应文件将被拒绝，采购人依法当众认定并宣布其无效响应。</w:t>
      </w:r>
    </w:p>
    <w:p w14:paraId="7B48112D">
      <w:pPr>
        <w:pageBreakBefore w:val="0"/>
        <w:widowControl w:val="0"/>
        <w:kinsoku/>
        <w:overflowPunct/>
        <w:topLinePunct w:val="0"/>
        <w:autoSpaceDE/>
        <w:autoSpaceDN/>
        <w:bidi w:val="0"/>
        <w:spacing w:after="120" w:line="312" w:lineRule="auto"/>
        <w:ind w:left="0" w:leftChars="0" w:firstLine="0" w:firstLineChars="0"/>
        <w:jc w:val="both"/>
        <w:textAlignment w:val="baseline"/>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六、疑问及质疑</w:t>
      </w:r>
    </w:p>
    <w:p w14:paraId="79579222">
      <w:pPr>
        <w:pageBreakBefore w:val="0"/>
        <w:widowControl w:val="0"/>
        <w:kinsoku/>
        <w:overflowPunct/>
        <w:topLinePunct w:val="0"/>
        <w:autoSpaceDE/>
        <w:autoSpaceDN/>
        <w:bidi w:val="0"/>
        <w:spacing w:after="120" w:line="312" w:lineRule="auto"/>
        <w:ind w:left="0" w:leftChars="0" w:firstLine="420" w:firstLineChars="200"/>
        <w:jc w:val="both"/>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1、磋商</w:t>
      </w:r>
      <w:r>
        <w:rPr>
          <w:rFonts w:hint="eastAsia" w:ascii="宋体" w:hAnsi="宋体" w:eastAsia="宋体" w:cs="宋体"/>
          <w:color w:val="auto"/>
          <w:kern w:val="2"/>
          <w:sz w:val="21"/>
          <w:szCs w:val="21"/>
          <w:highlight w:val="none"/>
          <w:lang w:val="en-US" w:eastAsia="zh-CN" w:bidi="ar-SA"/>
        </w:rPr>
        <w:t>人</w:t>
      </w:r>
      <w:r>
        <w:rPr>
          <w:rFonts w:hint="eastAsia" w:ascii="宋体" w:hAnsi="宋体" w:eastAsia="宋体" w:cs="Times New Roman"/>
          <w:color w:val="auto"/>
          <w:kern w:val="2"/>
          <w:sz w:val="21"/>
          <w:szCs w:val="21"/>
          <w:highlight w:val="none"/>
          <w:lang w:val="en-US" w:eastAsia="zh-CN" w:bidi="ar-SA"/>
        </w:rPr>
        <w:t>对政府采购活动事项如有疑问的，</w:t>
      </w:r>
      <w:r>
        <w:rPr>
          <w:rFonts w:hint="eastAsia" w:ascii="宋体" w:hAnsi="宋体" w:eastAsia="宋体" w:cs="宋体"/>
          <w:color w:val="auto"/>
          <w:kern w:val="2"/>
          <w:sz w:val="21"/>
          <w:szCs w:val="21"/>
          <w:highlight w:val="none"/>
          <w:lang w:val="en-US" w:eastAsia="zh-CN" w:bidi="ar-SA"/>
        </w:rPr>
        <w:t>可以向采购人、采购代理机构提出询问。采购人、采购代理机构将在3个工作日内作出答复。</w:t>
      </w:r>
    </w:p>
    <w:p w14:paraId="1B06B5AE">
      <w:pPr>
        <w:keepNext w:val="0"/>
        <w:keepLines w:val="0"/>
        <w:pageBreakBefore w:val="0"/>
        <w:widowControl w:val="0"/>
        <w:kinsoku/>
        <w:overflowPunct/>
        <w:topLinePunct w:val="0"/>
        <w:autoSpaceDE/>
        <w:autoSpaceDN/>
        <w:bidi w:val="0"/>
        <w:spacing w:after="120" w:line="360" w:lineRule="auto"/>
        <w:ind w:left="0" w:leftChars="0" w:firstLine="630" w:firstLineChars="300"/>
        <w:jc w:val="both"/>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潜在磋商人认为磋商文件或磋商公告使自己的合法权益受到损害的，可以在收到磋商文件之日或磋商公告期限届满之日起7个工作日内，按《湖南省财政厅关于印发＜政府采购质疑答复和投诉处理操作规程＞的通知》(湘财购〔2019〕20号)规定，以书面形式向采购人、采购代理机构提出质疑。</w:t>
      </w:r>
    </w:p>
    <w:p w14:paraId="6254551B">
      <w:pPr>
        <w:keepNext w:val="0"/>
        <w:keepLines w:val="0"/>
        <w:pageBreakBefore w:val="0"/>
        <w:widowControl w:val="0"/>
        <w:kinsoku/>
        <w:wordWrap w:val="0"/>
        <w:overflowPunct/>
        <w:topLinePunct w:val="0"/>
        <w:autoSpaceDE/>
        <w:autoSpaceDN/>
        <w:bidi w:val="0"/>
        <w:adjustRightInd w:val="0"/>
        <w:snapToGrid w:val="0"/>
        <w:spacing w:line="36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七、对本次磋商提出询问，请按以下方式联系。</w:t>
      </w:r>
      <w:bookmarkStart w:id="1" w:name="_GoBack"/>
      <w:bookmarkEnd w:id="1"/>
    </w:p>
    <w:p w14:paraId="2A2099F5">
      <w:pPr>
        <w:keepNext w:val="0"/>
        <w:keepLines w:val="0"/>
        <w:pageBreakBefore w:val="0"/>
        <w:widowControl/>
        <w:kinsoku/>
        <w:overflowPunct/>
        <w:topLinePunct w:val="0"/>
        <w:autoSpaceDE/>
        <w:autoSpaceDN/>
        <w:bidi w:val="0"/>
        <w:spacing w:line="360"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采购人信息</w:t>
      </w:r>
    </w:p>
    <w:p w14:paraId="3F37FDD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名称：湖南同盛智能信息有限公司</w:t>
      </w:r>
    </w:p>
    <w:p w14:paraId="66FFF37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eastAsia="zh-CN"/>
        </w:rPr>
        <w:t>湖南省娄底市娄星区育才路2号</w:t>
      </w:r>
      <w:r>
        <w:rPr>
          <w:rFonts w:hint="eastAsia" w:ascii="宋体" w:hAnsi="宋体"/>
          <w:color w:val="auto"/>
          <w:szCs w:val="21"/>
          <w:highlight w:val="none"/>
        </w:rPr>
        <w:t xml:space="preserve"> </w:t>
      </w:r>
    </w:p>
    <w:p w14:paraId="421155C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联系人：</w:t>
      </w:r>
      <w:r>
        <w:rPr>
          <w:rFonts w:hint="eastAsia" w:ascii="宋体" w:hAnsi="宋体" w:cs="宋体"/>
          <w:color w:val="auto"/>
          <w:kern w:val="0"/>
          <w:szCs w:val="21"/>
          <w:highlight w:val="none"/>
          <w:lang w:eastAsia="zh-CN"/>
        </w:rPr>
        <w:t>贺女士</w:t>
      </w:r>
    </w:p>
    <w:p w14:paraId="40F1DAB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lang w:val="en-US" w:eastAsia="zh-CN"/>
        </w:rPr>
        <w:t>17373834678</w:t>
      </w:r>
    </w:p>
    <w:p w14:paraId="03C7E69E">
      <w:pPr>
        <w:keepNext w:val="0"/>
        <w:keepLines w:val="0"/>
        <w:pageBreakBefore w:val="0"/>
        <w:widowControl/>
        <w:kinsoku/>
        <w:wordWrap/>
        <w:overflowPunct/>
        <w:topLinePunct w:val="0"/>
        <w:autoSpaceDE/>
        <w:autoSpaceDN/>
        <w:bidi w:val="0"/>
        <w:adjustRightInd/>
        <w:snapToGrid/>
        <w:spacing w:line="360" w:lineRule="auto"/>
        <w:ind w:firstLine="380"/>
        <w:jc w:val="left"/>
        <w:textAlignment w:val="auto"/>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采购代理机构信息</w:t>
      </w:r>
    </w:p>
    <w:p w14:paraId="5A427BBB">
      <w:pPr>
        <w:keepNext w:val="0"/>
        <w:keepLines w:val="0"/>
        <w:pageBreakBefore w:val="0"/>
        <w:widowControl/>
        <w:kinsoku/>
        <w:wordWrap/>
        <w:overflowPunct/>
        <w:topLinePunct w:val="0"/>
        <w:autoSpaceDE/>
        <w:autoSpaceDN/>
        <w:bidi w:val="0"/>
        <w:adjustRightInd/>
        <w:snapToGrid/>
        <w:spacing w:line="360" w:lineRule="auto"/>
        <w:ind w:firstLine="367"/>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名称：湖南同正建设项目管理有限公司      </w:t>
      </w:r>
    </w:p>
    <w:p w14:paraId="70666CD9">
      <w:pPr>
        <w:keepNext w:val="0"/>
        <w:keepLines w:val="0"/>
        <w:pageBreakBefore w:val="0"/>
        <w:widowControl/>
        <w:kinsoku/>
        <w:wordWrap/>
        <w:overflowPunct/>
        <w:topLinePunct w:val="0"/>
        <w:autoSpaceDE/>
        <w:autoSpaceDN/>
        <w:bidi w:val="0"/>
        <w:adjustRightInd/>
        <w:snapToGrid/>
        <w:spacing w:line="360" w:lineRule="auto"/>
        <w:ind w:firstLine="367"/>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highlight w:val="none"/>
        </w:rPr>
        <w:fldChar w:fldCharType="begin"/>
      </w:r>
      <w:r>
        <w:rPr>
          <w:color w:val="auto"/>
          <w:highlight w:val="none"/>
        </w:rPr>
        <w:instrText xml:space="preserve">HYPERLINK "https://ditu.so.com/?pid=shuidixy_f4fea6f4d9ee8f554066bf7346c89a01&amp;src=sd-onebox" \o "湖南同正建设项目管理有限公司"</w:instrText>
      </w:r>
      <w:r>
        <w:rPr>
          <w:rFonts w:hint="eastAsia" w:ascii="宋体" w:hAnsi="宋体" w:cs="宋体"/>
          <w:color w:val="auto"/>
          <w:highlight w:val="none"/>
        </w:rPr>
        <w:fldChar w:fldCharType="separate"/>
      </w:r>
      <w:r>
        <w:rPr>
          <w:rFonts w:hint="eastAsia" w:ascii="宋体" w:hAnsi="宋体" w:cs="宋体"/>
          <w:color w:val="auto"/>
          <w:highlight w:val="none"/>
        </w:rPr>
        <w:t>娄底市娄星区乐坪东街1幢恒丰大酒店附楼二楼210号</w:t>
      </w:r>
      <w:r>
        <w:rPr>
          <w:rFonts w:hint="eastAsia" w:ascii="宋体" w:hAnsi="宋体" w:cs="宋体"/>
          <w:color w:val="auto"/>
          <w:highlight w:val="none"/>
        </w:rPr>
        <w:fldChar w:fldCharType="end"/>
      </w:r>
    </w:p>
    <w:p w14:paraId="7B0FAA1F">
      <w:pPr>
        <w:keepNext w:val="0"/>
        <w:keepLines w:val="0"/>
        <w:pageBreakBefore w:val="0"/>
        <w:widowControl/>
        <w:kinsoku/>
        <w:wordWrap/>
        <w:overflowPunct/>
        <w:topLinePunct w:val="0"/>
        <w:autoSpaceDE/>
        <w:autoSpaceDN/>
        <w:bidi w:val="0"/>
        <w:adjustRightInd/>
        <w:snapToGrid/>
        <w:spacing w:line="360" w:lineRule="auto"/>
        <w:ind w:firstLine="367"/>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联系人：</w:t>
      </w:r>
      <w:r>
        <w:rPr>
          <w:rFonts w:hint="eastAsia" w:ascii="宋体" w:hAnsi="宋体" w:cs="宋体"/>
          <w:color w:val="auto"/>
          <w:kern w:val="0"/>
          <w:szCs w:val="21"/>
          <w:highlight w:val="none"/>
          <w:lang w:val="en-US" w:eastAsia="zh-CN"/>
        </w:rPr>
        <w:t>李</w:t>
      </w:r>
      <w:r>
        <w:rPr>
          <w:rFonts w:hint="eastAsia" w:ascii="宋体" w:hAnsi="宋体" w:cs="宋体"/>
          <w:color w:val="auto"/>
          <w:szCs w:val="21"/>
          <w:highlight w:val="none"/>
        </w:rPr>
        <w:t>女士</w:t>
      </w:r>
    </w:p>
    <w:p w14:paraId="5BCF74F1">
      <w:pPr>
        <w:keepNext w:val="0"/>
        <w:keepLines w:val="0"/>
        <w:pageBreakBefore w:val="0"/>
        <w:widowControl/>
        <w:kinsoku/>
        <w:wordWrap/>
        <w:overflowPunct/>
        <w:topLinePunct w:val="0"/>
        <w:autoSpaceDE/>
        <w:autoSpaceDN/>
        <w:bidi w:val="0"/>
        <w:adjustRightInd/>
        <w:snapToGrid/>
        <w:spacing w:line="360" w:lineRule="auto"/>
        <w:ind w:firstLine="367"/>
        <w:jc w:val="left"/>
        <w:textAlignment w:val="auto"/>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180738187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5980">
    <w:pPr>
      <w:pStyle w:val="3"/>
      <w:ind w:right="36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4" name="文本框 1"/>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2E3481CF">
                          <w:pPr>
                            <w:pStyle w:val="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6tPwwUCAAD0AwAADgAAAGRycy9lMm9Eb2MueG1srVNLbtsw&#10;EN0X6B0I7mtZcRwkQuSgqJGiQNEGSHsAmqIsAvxhhrbkHqC9QVfddN9z+RwdUv4E6SaLbqRHcvhm&#10;3pvh7d1gDdsqQO1dzcvJlDPlpG+0W9f865f7N9ecYRSuEcY7VfOdQn63eP3qtg+VuvCdN40CRiQO&#10;qz7UvIsxVEWBslNW4MQH5eiw9WBFpCWsiwZET+zWFBfT6VXRe2gCeKkQaXc5HvIDI7yE0Letlmrp&#10;5cYqF0dWUEZEkoSdDsgXudq2VTJ+bltUkZmak9KYv5SE8Cp9i8WtqNYgQqfloQTxkhKeabJCO0p6&#10;olqKKNgG9D9UVkvw6Ns4kd4Wo5DsCKkop8+8eexEUFkLWY3hZDr+P1r5afsATDc1v+TMCUsN3//8&#10;sf/1Z//7OyuTPX3AiqIewwMcVkgwaR1asOlPKtiQLd2dLFVDZJI2y8v57PqGM0lH5WxWzm8SZ3G+&#10;HADje+UtS6DmQB3LRortR4xj6DEk5XL+XhtD+6IyjvU1v5rNqZdS0CS2NAEEbSA16NaZ5kl8olkK&#10;7NhW0DCgN7oZ2w9+45oxlXFUXFI8akwoDquBDhNc+WZHbtHjoUo7D98462l0au7opXBmPjjqTJqy&#10;I4AjWB2BcJIu1pwKHeG7OE7jJoBed8Q7zXVjeLuJpDVbcM59qI6GIZt4GNw0bU/XOer8WB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9BvuHVAAAAAwEAAA8AAAAAAAAAAQAgAAAAIgAAAGRycy9k&#10;b3ducmV2LnhtbFBLAQIUABQAAAAIAIdO4kD7q0/DBQIAAPQDAAAOAAAAAAAAAAEAIAAAACQBAABk&#10;cnMvZTJvRG9jLnhtbFBLBQYAAAAABgAGAFkBAACbBQAAAAA=&#10;">
              <v:fill on="f" focussize="0,0"/>
              <v:stroke on="f" weight="0.5pt" joinstyle="round"/>
              <v:imagedata o:title=""/>
              <o:lock v:ext="edit" aspectratio="f"/>
              <v:textbox inset="0mm,0mm,0mm,0mm" style="mso-fit-shape-to-text:t;">
                <w:txbxContent>
                  <w:p w14:paraId="2E3481CF">
                    <w:pPr>
                      <w:pStyle w:val="3"/>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7995C"/>
    <w:multiLevelType w:val="singleLevel"/>
    <w:tmpl w:val="4747995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D6BC0"/>
    <w:rsid w:val="16D87DB4"/>
    <w:rsid w:val="23847CFE"/>
    <w:rsid w:val="4AFD6BC0"/>
    <w:rsid w:val="4FF1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1785</Words>
  <Characters>1965</Characters>
  <Lines>0</Lines>
  <Paragraphs>0</Paragraphs>
  <TotalTime>2</TotalTime>
  <ScaleCrop>false</ScaleCrop>
  <LinksUpToDate>false</LinksUpToDate>
  <CharactersWithSpaces>1977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2025-08-14T04:04:00Z</dcterms:created>
  <dc:creator>..</dc:creator>
  <cp:lastModifiedBy>一夜一七二</cp:lastModifiedBy>
  <dcterms:modified xsi:type="dcterms:W3CDTF">2025-08-14T06:20:21Z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E3489946E65C44258868E209496F08C2_13</vt:lpwstr>
  </property>
  <property fmtid="{D5CDD505-2E9C-101B-9397-08002B2CF9AE}" pid="4" name="KSOTemplateDocerSaveRecord">
    <vt:lpwstr>eyJoZGlkIjoiODQ0YWQ1MTNkOGYyMWQxOGJjMzRlZGVhMDA0OTExYTciLCJ1c2VySWQiOiIzMDgyNjY2NzAifQ==</vt:lpwstr>
  </property>
</Properties>
</file>